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45" w:rsidRDefault="0051203B">
      <w:pPr>
        <w:ind w:firstLine="567"/>
        <w:jc w:val="center"/>
        <w:rPr>
          <w:b/>
          <w:sz w:val="28"/>
          <w:szCs w:val="28"/>
          <w:lang w:val="uk-UA"/>
        </w:rPr>
      </w:pPr>
      <w:r>
        <w:rPr>
          <w:b/>
          <w:sz w:val="28"/>
          <w:szCs w:val="28"/>
          <w:lang w:val="uk-UA"/>
        </w:rPr>
        <w:t>Звіт</w:t>
      </w:r>
      <w:bookmarkStart w:id="0" w:name="_GoBack"/>
      <w:bookmarkEnd w:id="0"/>
      <w:r w:rsidR="00EB6D07">
        <w:rPr>
          <w:b/>
          <w:sz w:val="28"/>
          <w:szCs w:val="28"/>
          <w:lang w:val="uk-UA"/>
        </w:rPr>
        <w:t xml:space="preserve"> про виконання у 2024 році Обласної цільової </w:t>
      </w:r>
      <w:r w:rsidR="00EB6D07">
        <w:rPr>
          <w:b/>
          <w:sz w:val="28"/>
          <w:szCs w:val="28"/>
          <w:lang w:val="uk-UA"/>
        </w:rPr>
        <w:br/>
        <w:t>довгострокової програми «Мистецька освіта Чернігівщини»</w:t>
      </w:r>
      <w:r w:rsidR="00EB6D07">
        <w:rPr>
          <w:b/>
          <w:sz w:val="28"/>
          <w:szCs w:val="28"/>
          <w:lang w:val="uk-UA"/>
        </w:rPr>
        <w:br/>
        <w:t>на 2011-2025 роки</w:t>
      </w:r>
    </w:p>
    <w:p w:rsidR="00F55C45" w:rsidRDefault="00EB6D07">
      <w:pPr>
        <w:ind w:firstLine="567"/>
        <w:jc w:val="center"/>
        <w:rPr>
          <w:b/>
          <w:i/>
          <w:sz w:val="28"/>
          <w:szCs w:val="28"/>
          <w:lang w:val="uk-UA"/>
        </w:rPr>
      </w:pPr>
      <w:r>
        <w:rPr>
          <w:b/>
          <w:i/>
          <w:sz w:val="28"/>
          <w:szCs w:val="28"/>
          <w:lang w:val="uk-UA"/>
        </w:rPr>
        <w:t xml:space="preserve"> </w:t>
      </w:r>
    </w:p>
    <w:p w:rsidR="00F55C45" w:rsidRDefault="00EB6D07">
      <w:pPr>
        <w:ind w:firstLine="567"/>
        <w:rPr>
          <w:sz w:val="28"/>
          <w:szCs w:val="28"/>
          <w:lang w:val="uk-UA"/>
        </w:rPr>
      </w:pPr>
      <w:r>
        <w:rPr>
          <w:sz w:val="28"/>
          <w:szCs w:val="28"/>
          <w:lang w:val="uk-UA"/>
        </w:rPr>
        <w:t>З метою створення сприятливих умов для розвитку творчого, інтелектуального та духовного потенціалу підростаючого покоління, якісного здобуття мистецької освіти та забезпечення закладів культури кваліфікованими кадрами рішенням Чернігівської обласної ради (</w:t>
      </w:r>
      <w:r>
        <w:rPr>
          <w:sz w:val="28"/>
          <w:szCs w:val="28"/>
          <w:lang w:val="uk-UA"/>
        </w:rPr>
        <w:t xml:space="preserve">п’ята сесія шостого скликання) від 30 вересня 2011 року (зі змінами від 28 жовтня 2020 року (двадцять п’ята сесія сьомого скликання)) затверджено Обласну цільову довгострокову Програму «Мистецька освіта Чернігівщини» на 2011-2025 роки (далі – Програма). </w:t>
      </w:r>
    </w:p>
    <w:p w:rsidR="00F55C45" w:rsidRDefault="00EB6D07">
      <w:pPr>
        <w:ind w:firstLine="567"/>
        <w:rPr>
          <w:b/>
          <w:i/>
          <w:sz w:val="28"/>
          <w:szCs w:val="28"/>
          <w:lang w:val="uk-UA"/>
        </w:rPr>
      </w:pPr>
      <w:r>
        <w:rPr>
          <w:sz w:val="28"/>
          <w:szCs w:val="28"/>
          <w:lang w:val="uk-UA"/>
        </w:rPr>
        <w:t>У</w:t>
      </w:r>
      <w:r>
        <w:rPr>
          <w:sz w:val="28"/>
          <w:szCs w:val="28"/>
          <w:lang w:val="uk-UA"/>
        </w:rPr>
        <w:t xml:space="preserve"> 2023 році на виконання Програми використано коштів в сумі 22598,077 тис. грн із передбачених 28571,300 тис. грн.</w:t>
      </w:r>
    </w:p>
    <w:p w:rsidR="00F55C45" w:rsidRDefault="00EB6D07">
      <w:pPr>
        <w:ind w:firstLine="567"/>
        <w:rPr>
          <w:sz w:val="28"/>
          <w:szCs w:val="28"/>
          <w:lang w:val="uk-UA"/>
        </w:rPr>
      </w:pPr>
      <w:r>
        <w:rPr>
          <w:sz w:val="28"/>
          <w:szCs w:val="28"/>
          <w:lang w:val="uk-UA"/>
        </w:rPr>
        <w:t>Мережа початкових спеціалізованих закладів мистецької освіти області становить 39 мистецьких шкіл. Початкову мистецьку освіту у 2023-2024 навч</w:t>
      </w:r>
      <w:r>
        <w:rPr>
          <w:sz w:val="28"/>
          <w:szCs w:val="28"/>
          <w:lang w:val="uk-UA"/>
        </w:rPr>
        <w:t xml:space="preserve">альному році отримувало 8203 учнів, на початок 2024-2025 навчального року контингент мистецьких шкіл області становить 8185 учнів. </w:t>
      </w:r>
    </w:p>
    <w:p w:rsidR="00F55C45" w:rsidRDefault="00EB6D07">
      <w:pPr>
        <w:ind w:firstLine="567"/>
        <w:rPr>
          <w:sz w:val="28"/>
          <w:szCs w:val="28"/>
          <w:lang w:val="uk-UA"/>
        </w:rPr>
      </w:pPr>
      <w:r>
        <w:rPr>
          <w:sz w:val="28"/>
          <w:szCs w:val="28"/>
          <w:lang w:val="uk-UA"/>
        </w:rPr>
        <w:t>Кількість педагогічних працівників мистецьких шкіл області – 882 викладачів, з них 12 мають почесні звання.</w:t>
      </w:r>
    </w:p>
    <w:p w:rsidR="00F55C45" w:rsidRDefault="00EB6D07">
      <w:pPr>
        <w:ind w:firstLine="567"/>
        <w:rPr>
          <w:sz w:val="28"/>
          <w:szCs w:val="28"/>
          <w:lang w:val="uk-UA"/>
        </w:rPr>
      </w:pPr>
      <w:r>
        <w:rPr>
          <w:sz w:val="28"/>
          <w:szCs w:val="28"/>
          <w:lang w:val="uk-UA"/>
        </w:rPr>
        <w:t>Системно проводи</w:t>
      </w:r>
      <w:r>
        <w:rPr>
          <w:sz w:val="28"/>
          <w:szCs w:val="28"/>
          <w:lang w:val="uk-UA"/>
        </w:rPr>
        <w:t>ться робота по створенню умов для розвитку творчих здібностей дітей,  підвищенню ефективності освітнього процесу та результативності навчання.</w:t>
      </w:r>
    </w:p>
    <w:p w:rsidR="00F55C45" w:rsidRDefault="00EB6D07">
      <w:pPr>
        <w:ind w:firstLine="567"/>
        <w:rPr>
          <w:sz w:val="28"/>
          <w:szCs w:val="28"/>
          <w:lang w:val="uk-UA"/>
        </w:rPr>
      </w:pPr>
      <w:r>
        <w:rPr>
          <w:sz w:val="28"/>
          <w:szCs w:val="28"/>
          <w:lang w:val="uk-UA"/>
        </w:rPr>
        <w:t>Завдяки виконанням програмних завдань  забезпечено функціонування шкіл мистецтв при Чернігівському фаховому музич</w:t>
      </w:r>
      <w:r>
        <w:rPr>
          <w:sz w:val="28"/>
          <w:szCs w:val="28"/>
          <w:lang w:val="uk-UA"/>
        </w:rPr>
        <w:t xml:space="preserve">ному коледжі ім. Л.М. Ревуцького та Ніжинському фаховому коледжі культури і мистецтв імені Марії Заньковецької. </w:t>
      </w:r>
    </w:p>
    <w:p w:rsidR="00F55C45" w:rsidRDefault="00EB6D07">
      <w:pPr>
        <w:ind w:firstLine="567"/>
        <w:rPr>
          <w:sz w:val="28"/>
          <w:szCs w:val="28"/>
          <w:lang w:val="uk-UA"/>
        </w:rPr>
      </w:pPr>
      <w:r>
        <w:rPr>
          <w:sz w:val="28"/>
          <w:szCs w:val="28"/>
          <w:lang w:val="uk-UA"/>
        </w:rPr>
        <w:t>23 лютого 2024 року відбулась  ХХІХ Всеукраїнська науково-практична конференція в рамках фестивалю «Дні Л.М. Ревуцького в Чернігові».</w:t>
      </w:r>
    </w:p>
    <w:p w:rsidR="00F55C45" w:rsidRDefault="00EB6D07">
      <w:pPr>
        <w:ind w:firstLine="567"/>
        <w:rPr>
          <w:sz w:val="28"/>
          <w:szCs w:val="28"/>
          <w:lang w:val="uk-UA"/>
        </w:rPr>
      </w:pPr>
      <w:r>
        <w:rPr>
          <w:sz w:val="28"/>
          <w:szCs w:val="28"/>
          <w:lang w:val="uk-UA"/>
        </w:rPr>
        <w:t>Для викла</w:t>
      </w:r>
      <w:r>
        <w:rPr>
          <w:sz w:val="28"/>
          <w:szCs w:val="28"/>
          <w:lang w:val="uk-UA"/>
        </w:rPr>
        <w:t>дачів закладів мистецької освіти області протягом жовтня-грудня 2024 року підготовлено та проведено обласні конференції на тему «Мистецька освіта в Україні: виклики та перспективи в реаліях сьогодення». Загальна кількість учасників становить 628 викладачів</w:t>
      </w:r>
      <w:r>
        <w:rPr>
          <w:sz w:val="28"/>
          <w:szCs w:val="28"/>
          <w:lang w:val="uk-UA"/>
        </w:rPr>
        <w:t>.</w:t>
      </w:r>
    </w:p>
    <w:p w:rsidR="00F55C45" w:rsidRDefault="00EB6D07">
      <w:pPr>
        <w:ind w:firstLine="567"/>
        <w:rPr>
          <w:sz w:val="28"/>
          <w:szCs w:val="28"/>
          <w:lang w:val="uk-UA"/>
        </w:rPr>
      </w:pPr>
      <w:r>
        <w:rPr>
          <w:sz w:val="28"/>
          <w:szCs w:val="28"/>
          <w:lang w:val="uk-UA"/>
        </w:rPr>
        <w:t>У звітному періоді забезпечено підготовку та проведення 17 обласних конкурсів для учнів мистецьких шкіл області.</w:t>
      </w:r>
    </w:p>
    <w:p w:rsidR="00F55C45" w:rsidRDefault="00EB6D07">
      <w:pPr>
        <w:ind w:firstLine="567"/>
        <w:rPr>
          <w:i/>
          <w:sz w:val="28"/>
          <w:szCs w:val="28"/>
          <w:lang w:val="uk-UA"/>
        </w:rPr>
      </w:pPr>
      <w:r>
        <w:rPr>
          <w:sz w:val="28"/>
          <w:szCs w:val="28"/>
          <w:lang w:val="uk-UA"/>
        </w:rPr>
        <w:t>Проведено 3 засідання обласної Ради директорів мистецьких навчальних закладів (дистанційно).</w:t>
      </w:r>
    </w:p>
    <w:p w:rsidR="00F55C45" w:rsidRDefault="00F55C45">
      <w:pPr>
        <w:ind w:firstLine="567"/>
        <w:rPr>
          <w:sz w:val="28"/>
          <w:szCs w:val="28"/>
          <w:lang w:val="uk-UA"/>
        </w:rPr>
      </w:pPr>
    </w:p>
    <w:sectPr w:rsidR="00F55C45">
      <w:pgSz w:w="12240" w:h="15840"/>
      <w:pgMar w:top="1134" w:right="567"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D07" w:rsidRDefault="00EB6D07">
      <w:r>
        <w:separator/>
      </w:r>
    </w:p>
  </w:endnote>
  <w:endnote w:type="continuationSeparator" w:id="0">
    <w:p w:rsidR="00EB6D07" w:rsidRDefault="00EB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D07" w:rsidRDefault="00EB6D07">
      <w:r>
        <w:separator/>
      </w:r>
    </w:p>
  </w:footnote>
  <w:footnote w:type="continuationSeparator" w:id="0">
    <w:p w:rsidR="00EB6D07" w:rsidRDefault="00EB6D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70983"/>
    <w:multiLevelType w:val="multilevel"/>
    <w:tmpl w:val="520ADA2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51502F65"/>
    <w:multiLevelType w:val="multilevel"/>
    <w:tmpl w:val="CE226C30"/>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7A754017"/>
    <w:multiLevelType w:val="multilevel"/>
    <w:tmpl w:val="F4589A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45"/>
    <w:rsid w:val="0051203B"/>
    <w:rsid w:val="00EB6D07"/>
    <w:rsid w:val="00F5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D727"/>
  <w15:docId w15:val="{DD8942EB-055B-40D7-9082-CD6477AA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basedOn w:val="a"/>
    <w:uiPriority w:val="34"/>
    <w:qFormat/>
    <w:pPr>
      <w:ind w:left="720"/>
      <w:contextualSpacing/>
    </w:pPr>
  </w:style>
  <w:style w:type="character" w:styleId="a9">
    <w:name w:val="Intense Emphasis"/>
    <w:basedOn w:val="a0"/>
    <w:uiPriority w:val="21"/>
    <w:qFormat/>
    <w:rPr>
      <w:i/>
      <w:iCs/>
      <w:color w:val="2E74B5" w:themeColor="accent1" w:themeShade="BF"/>
    </w:rPr>
  </w:style>
  <w:style w:type="paragraph" w:styleId="aa">
    <w:name w:val="Intense Quote"/>
    <w:basedOn w:val="a"/>
    <w:next w:val="a"/>
    <w:link w:val="ab"/>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Pr>
      <w:i/>
      <w:iCs/>
      <w:color w:val="2E74B5" w:themeColor="accent1" w:themeShade="BF"/>
    </w:rPr>
  </w:style>
  <w:style w:type="character" w:styleId="ac">
    <w:name w:val="Intense Reference"/>
    <w:basedOn w:val="a0"/>
    <w:uiPriority w:val="32"/>
    <w:qFormat/>
    <w:rPr>
      <w:b/>
      <w:bCs/>
      <w:smallCaps/>
      <w:color w:val="2E74B5"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af4"/>
    <w:uiPriority w:val="99"/>
    <w:unhideWhenUsed/>
    <w:pPr>
      <w:tabs>
        <w:tab w:val="center" w:pos="4844"/>
        <w:tab w:val="right" w:pos="9689"/>
      </w:tabs>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844"/>
        <w:tab w:val="right" w:pos="9689"/>
      </w:tabs>
    </w:pPr>
  </w:style>
  <w:style w:type="character" w:customStyle="1" w:styleId="af6">
    <w:name w:val="Нижний колонтитул Знак"/>
    <w:basedOn w:val="a0"/>
    <w:link w:val="af5"/>
    <w:uiPriority w:val="99"/>
  </w:style>
  <w:style w:type="paragraph" w:styleId="af7">
    <w:name w:val="caption"/>
    <w:basedOn w:val="a"/>
    <w:next w:val="a"/>
    <w:uiPriority w:val="35"/>
    <w:unhideWhenUsed/>
    <w:qFormat/>
    <w:pPr>
      <w:spacing w:after="200"/>
    </w:pPr>
    <w:rPr>
      <w:i/>
      <w:iCs/>
      <w:color w:val="44546A" w:themeColor="text2"/>
      <w:sz w:val="18"/>
      <w:szCs w:val="18"/>
    </w:rPr>
  </w:style>
  <w:style w:type="paragraph" w:styleId="af8">
    <w:name w:val="footnote text"/>
    <w:basedOn w:val="a"/>
    <w:link w:val="af9"/>
    <w:uiPriority w:val="99"/>
    <w:semiHidden/>
    <w:unhideWhenUsed/>
    <w:rPr>
      <w:sz w:val="20"/>
      <w:szCs w:val="20"/>
    </w:rPr>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sz w:val="20"/>
      <w:szCs w:val="20"/>
    </w:rPr>
  </w:style>
  <w:style w:type="character" w:styleId="afd">
    <w:name w:val="endnote reference"/>
    <w:basedOn w:val="a0"/>
    <w:uiPriority w:val="99"/>
    <w:semiHidden/>
    <w:unhideWhenUsed/>
    <w:rPr>
      <w:vertAlign w:val="superscript"/>
    </w:rPr>
  </w:style>
  <w:style w:type="character" w:styleId="afe">
    <w:name w:val="Hyperlink"/>
    <w:basedOn w:val="a0"/>
    <w:uiPriority w:val="99"/>
    <w:unhideWhenUsed/>
    <w:rPr>
      <w:color w:val="0563C1" w:themeColor="hyperlink"/>
      <w:u w:val="single"/>
    </w:rPr>
  </w:style>
  <w:style w:type="character" w:styleId="aff">
    <w:name w:val="FollowedHyperlink"/>
    <w:basedOn w:val="a0"/>
    <w:uiPriority w:val="99"/>
    <w:semiHidden/>
    <w:unhideWhenUsed/>
    <w:rPr>
      <w:color w:val="954F72" w:themeColor="followedHyperlink"/>
      <w:u w:val="single"/>
    </w:rPr>
  </w:style>
  <w:style w:type="paragraph" w:styleId="aff0">
    <w:name w:val="TOC Heading"/>
    <w:uiPriority w:val="39"/>
    <w:unhideWhenUsed/>
  </w:style>
  <w:style w:type="paragraph" w:styleId="aff1">
    <w:name w:val="table of figures"/>
    <w:basedOn w:val="a"/>
    <w:next w:val="a"/>
    <w:uiPriority w:val="99"/>
    <w:unhideWhenUsed/>
  </w:style>
  <w:style w:type="paragraph" w:styleId="aff2">
    <w:name w:val="Normal (Web)"/>
    <w:basedOn w:val="a"/>
    <w:uiPriority w:val="99"/>
    <w:unhideWhenUsed/>
    <w:pPr>
      <w:spacing w:before="100" w:beforeAutospacing="1" w:after="100" w:afterAutospacing="1"/>
      <w:jc w:val="left"/>
    </w:pPr>
    <w:rPr>
      <w:lang w:val="en-US" w:eastAsia="en-US"/>
    </w:rPr>
  </w:style>
  <w:style w:type="paragraph" w:customStyle="1" w:styleId="12">
    <w:name w:val="Знак Знак1 Знак Знак Знак"/>
    <w:basedOn w:val="a"/>
    <w:pPr>
      <w:jc w:val="left"/>
    </w:pPr>
    <w:rPr>
      <w:rFonts w:ascii="Verdana" w:hAnsi="Verdana" w:cs="Verdana"/>
      <w:sz w:val="20"/>
      <w:szCs w:val="20"/>
      <w:lang w:val="en-US" w:eastAsia="en-US"/>
    </w:rPr>
  </w:style>
  <w:style w:type="paragraph" w:customStyle="1" w:styleId="aff3">
    <w:name w:val="Обычний"/>
    <w:basedOn w:val="a"/>
    <w:pPr>
      <w:ind w:firstLine="709"/>
    </w:pPr>
    <w:rPr>
      <w:sz w:val="28"/>
      <w:szCs w:val="20"/>
    </w:rPr>
  </w:style>
  <w:style w:type="character" w:customStyle="1" w:styleId="120">
    <w:name w:val="Основной текст + 12"/>
    <w:rPr>
      <w:rFonts w:ascii="Times New Roman" w:hAnsi="Times New Roman" w:cs="Times New Roman"/>
      <w:spacing w:val="1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2025-01-17T12:26:00Z</dcterms:created>
  <dcterms:modified xsi:type="dcterms:W3CDTF">2025-02-20T07:58:00Z</dcterms:modified>
</cp:coreProperties>
</file>